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9.png" ContentType="image/png"/>
  <Override PartName="/word/media/rId28.png" ContentType="image/png"/>
  <Override PartName="/word/media/rId26.png" ContentType="image/png"/>
  <Override PartName="/word/media/rId31.png" ContentType="image/png"/>
  <Override PartName="/word/media/rId22.png" ContentType="image/png"/>
  <Override PartName="/word/media/rId25.png" ContentType="image/png"/>
  <Override PartName="/word/media/rId27.png" ContentType="image/png"/>
  <Override PartName="/word/media/rId24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Spatial</w:t>
      </w:r>
      <w:r>
        <w:t xml:space="preserve"> </w:t>
      </w:r>
      <w:r>
        <w:t xml:space="preserve">and</w:t>
      </w:r>
      <w:r>
        <w:t xml:space="preserve"> </w:t>
      </w:r>
      <w:r>
        <w:t xml:space="preserve">temporal</w:t>
      </w:r>
      <w:r>
        <w:t xml:space="preserve"> </w:t>
      </w:r>
      <w:r>
        <w:t xml:space="preserve">variability</w:t>
      </w:r>
      <w:r>
        <w:t xml:space="preserve"> </w:t>
      </w:r>
      <w:r>
        <w:t xml:space="preserve">in</w:t>
      </w:r>
      <w:r>
        <w:t xml:space="preserve"> </w:t>
      </w:r>
      <w:r>
        <w:t xml:space="preserve">economic</w:t>
      </w:r>
      <w:r>
        <w:t xml:space="preserve"> </w:t>
      </w:r>
      <w:r>
        <w:t xml:space="preserve">availability</w:t>
      </w:r>
      <w:r>
        <w:t xml:space="preserve"> </w:t>
      </w:r>
      <w:r>
        <w:t xml:space="preserve">of</w:t>
      </w:r>
      <w:r>
        <w:t xml:space="preserve"> </w:t>
      </w:r>
      <w:r>
        <w:t xml:space="preserve">residual</w:t>
      </w:r>
      <w:r>
        <w:t xml:space="preserve"> </w:t>
      </w:r>
      <w:r>
        <w:t xml:space="preserve">biomass</w:t>
      </w:r>
      <w:r>
        <w:t xml:space="preserve"> </w:t>
      </w:r>
      <w:r>
        <w:t xml:space="preserve">from</w:t>
      </w:r>
      <w:r>
        <w:t xml:space="preserve"> </w:t>
      </w:r>
      <w:r>
        <w:t xml:space="preserve">timber</w:t>
      </w:r>
      <w:r>
        <w:t xml:space="preserve"> </w:t>
      </w:r>
      <w:r>
        <w:t xml:space="preserve">harvest</w:t>
      </w:r>
      <w:r>
        <w:t xml:space="preserve"> </w:t>
      </w:r>
      <w:r>
        <w:t xml:space="preserve">in</w:t>
      </w:r>
      <w:r>
        <w:t xml:space="preserve"> </w:t>
      </w:r>
      <w:r>
        <w:t xml:space="preserve">west-central</w:t>
      </w:r>
      <w:r>
        <w:t xml:space="preserve"> </w:t>
      </w:r>
      <w:r>
        <w:t xml:space="preserve">Alberta,</w:t>
      </w:r>
      <w:r>
        <w:t xml:space="preserve"> </w:t>
      </w:r>
      <w:r>
        <w:t xml:space="preserve">Canada</w:t>
      </w:r>
      <w:r>
        <w:t xml:space="preserve"> </w:t>
      </w:r>
      <w:r>
        <w:t xml:space="preserve">(1990–2015)</w:t>
      </w:r>
    </w:p>
    <w:p>
      <w:pPr>
        <w:pStyle w:val="Subtitle"/>
      </w:pPr>
      <w:r>
        <w:t xml:space="preserve">Tables</w:t>
      </w:r>
      <w:r>
        <w:t xml:space="preserve"> </w:t>
      </w:r>
      <w:r>
        <w:t xml:space="preserve">and</w:t>
      </w:r>
      <w:r>
        <w:t xml:space="preserve"> </w:t>
      </w:r>
      <w:r>
        <w:t xml:space="preserve">Figures</w:t>
      </w:r>
    </w:p>
    <w:p>
      <w:pPr>
        <w:pStyle w:val="Author"/>
      </w:pPr>
      <w:r>
        <w:t xml:space="preserve">Glen W. Armstrong</w:t>
      </w:r>
      <w:r>
        <w:rPr>
          <w:vertAlign w:val="superscript"/>
        </w:rPr>
        <w:t xml:space="preserve">1</w:t>
      </w:r>
      <w:r>
        <w:rPr>
          <w:vertAlign w:val="superscript"/>
        </w:rPr>
        <w:t xml:space="preserve">,</w:t>
      </w:r>
      <w:r>
        <w:rPr>
          <w:vertAlign w:val="superscript"/>
        </w:rPr>
        <w:t xml:space="preserve">✉</w:t>
      </w:r>
      <w:r>
        <w:t xml:space="preserve">,</w:t>
      </w:r>
      <w:r>
        <w:t xml:space="preserve"> </w:t>
      </w:r>
      <w:r>
        <w:t xml:space="preserve">Jay A. Anderson</w:t>
      </w:r>
      <w:r>
        <w:rPr>
          <w:vertAlign w:val="superscript"/>
        </w:rPr>
        <w:t xml:space="preserve">2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t xml:space="preserve">Alex W. McPhee</w:t>
      </w:r>
      <w:r>
        <w:rPr>
          <w:vertAlign w:val="superscript"/>
        </w:rPr>
        <w:t xml:space="preserve">2</w:t>
      </w:r>
    </w:p>
    <w:p>
      <w:pPr>
        <w:pStyle w:val="Date"/>
      </w:pPr>
      <w:r>
        <w:t xml:space="preserve">2021-11-30</w:t>
      </w:r>
    </w:p>
    <w:p>
      <w:pPr>
        <w:pStyle w:val="FirstParagraph"/>
      </w:pPr>
      <w:r>
        <w:rPr>
          <w:vertAlign w:val="superscript"/>
        </w:rPr>
        <w:t xml:space="preserve">1</w:t>
      </w:r>
      <w:r>
        <w:t xml:space="preserve"> </w:t>
      </w:r>
      <w:r>
        <w:t xml:space="preserve">Department of Renewable Resources, University of Alberta, Edmonton AB T6G 2H1, Canada</w:t>
      </w:r>
      <w:r>
        <w:br/>
      </w:r>
      <w:r>
        <w:rPr>
          <w:vertAlign w:val="superscript"/>
        </w:rPr>
        <w:t xml:space="preserve">2</w:t>
      </w:r>
      <w:r>
        <w:t xml:space="preserve"> </w:t>
      </w:r>
      <w:r>
        <w:t xml:space="preserve">Department of Resource Economics and Environmental Sociology, University of Alberta, Edmonton AB T6G 2H1, Canada</w:t>
      </w:r>
    </w:p>
    <w:p>
      <w:pPr>
        <w:pStyle w:val="BodyText"/>
      </w:pPr>
      <w:r>
        <w:rPr>
          <w:vertAlign w:val="superscript"/>
        </w:rPr>
        <w:t xml:space="preserve">✉</w:t>
      </w:r>
      <w:r>
        <w:t xml:space="preserve"> </w:t>
      </w:r>
      <w:r>
        <w:t xml:space="preserve">Correspondence:</w:t>
      </w:r>
      <w:r>
        <w:t xml:space="preserve"> </w:t>
      </w:r>
      <w:hyperlink r:id="rId20">
        <w:r>
          <w:rPr>
            <w:rStyle w:val="Hyperlink"/>
          </w:rPr>
          <w:t xml:space="preserve">Glen W. Armstrong &lt;</w:t>
        </w:r>
        <w:hyperlink r:id="rId20">
          <w:r>
            <w:rPr>
              <w:rStyle w:val="Hyperlink"/>
            </w:rPr>
            <w:t xml:space="preserve">gwa@ualberta.ca</w:t>
          </w:r>
        </w:hyperlink>
        <w:r>
          <w:rPr>
            <w:rStyle w:val="Hyperlink"/>
          </w:rPr>
          <w:t xml:space="preserve">&gt;</w:t>
        </w:r>
      </w:hyperlink>
    </w:p>
    <w:p>
      <w:r>
        <w:br w:type="page"/>
      </w:r>
    </w:p>
    <w:bookmarkStart w:id="21" w:name="tables"/>
    <w:p>
      <w:pPr>
        <w:pStyle w:val="Heading1"/>
      </w:pPr>
      <w:r>
        <w:t xml:space="preserve">Tables</w:t>
      </w:r>
    </w:p>
    <w:p>
      <w:pPr>
        <w:pStyle w:val="FirstParagraph"/>
      </w:pPr>
      <w:r>
        <w:t xml:space="preserve">Table 1: Road speeds based on FPInnovations (km/h).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Road class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loaded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unloaded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harmonic mean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primary highways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other paved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2-lane gravel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1-lane gravel or dirt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 road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</w:tbl>
    <w:p>
      <w:pPr>
        <w:pStyle w:val="BodyText"/>
      </w:pPr>
      <w:r>
        <w:t xml:space="preserve">Table 2: Summary statistics.</w:t>
      </w:r>
    </w:p>
    <w:p>
      <w:r>
        <w:br w:type="page"/>
      </w:r>
    </w:p>
    <w:bookmarkEnd w:id="21"/>
    <w:bookmarkStart w:id="32" w:name="figures"/>
    <w:p>
      <w:pPr>
        <w:pStyle w:val="Heading1"/>
      </w:pPr>
      <w:r>
        <w:t xml:space="preserve">Figures</w:t>
      </w:r>
    </w:p>
    <w:p>
      <w:pPr>
        <w:pStyle w:val="CaptionedFigure"/>
      </w:pPr>
      <w:r>
        <w:drawing>
          <wp:inline>
            <wp:extent cx="3792160" cy="6137795"/>
            <wp:effectExtent b="0" l="0" r="0" t="0"/>
            <wp:docPr descr="Harvest areas for 2009 with aggregated to township level. Size of circle indicates harvest area in a township in 2009. Harvests are shown relative to Alberta’s Green and White Areas, and those areas not in either (cross-hatching). The locations of Hinton, Edson, and Whitecourt are indicated on the map." title="" id="1" name="Picture"/>
            <a:graphic>
              <a:graphicData uri="http://schemas.openxmlformats.org/drawingml/2006/picture">
                <pic:pic>
                  <pic:nvPicPr>
                    <pic:cNvPr descr="../img/figHarvest2009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160" cy="6137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Harvest areas for 2009 with aggregated to township level. Size of circle indicates harvest area in a township in 2009. Harvests are shown relative to Alberta’s Green and White Areas, and those areas not in either (cross-hatching). The locations of Hinton, Edson, and Whitecourt are indicated on the map.</w:t>
      </w:r>
    </w:p>
    <w:p>
      <w:r>
        <w:br w:type="page"/>
      </w:r>
    </w:p>
    <w:p>
      <w:pPr>
        <w:pStyle w:val="CaptionedFigure"/>
      </w:pPr>
      <w:r>
        <w:drawing>
          <wp:inline>
            <wp:extent cx="5334000" cy="4715365"/>
            <wp:effectExtent b="0" l="0" r="0" t="0"/>
            <wp:docPr descr="Merchantable volume by township. The left panel indicates total merchantable volume in the township from the 250 m data, and the boundaries of Alberta’s green and white areas." title="" id="1" name="Picture"/>
            <a:graphic>
              <a:graphicData uri="http://schemas.openxmlformats.org/drawingml/2006/picture">
                <pic:pic>
                  <pic:nvPicPr>
                    <pic:cNvPr descr="../img/Merchantable%20Volu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5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Merchantable volume by township. The left panel indicates total merchantable volume in the township from the 250 m data, and the boundaries of Alberta’s green and white areas.</w:t>
      </w:r>
    </w:p>
    <w:p>
      <w:r>
        <w:br w:type="page"/>
      </w:r>
    </w:p>
    <w:p>
      <w:pPr>
        <w:pStyle w:val="CaptionedFigure"/>
      </w:pPr>
      <w:r>
        <w:drawing>
          <wp:inline>
            <wp:extent cx="5334000" cy="4933342"/>
            <wp:effectExtent b="0" l="0" r="0" t="0"/>
            <wp:docPr descr="Alberta road network (left) and cycle time (right) from Whitecourt, limited to 13 hours." title="" id="1" name="Picture"/>
            <a:graphic>
              <a:graphicData uri="http://schemas.openxmlformats.org/drawingml/2006/picture">
                <pic:pic>
                  <pic:nvPicPr>
                    <pic:cNvPr descr="../img/network_servi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3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Alberta road network (left) and cycle time (right) from Whitecourt, limited to 13 hours.</w:t>
      </w:r>
    </w:p>
    <w:p>
      <w:r>
        <w:br w:type="page"/>
      </w:r>
    </w:p>
    <w:p>
      <w:pPr>
        <w:pStyle w:val="CaptionedFigure"/>
      </w:pPr>
      <w:r>
        <w:drawing>
          <wp:inline>
            <wp:extent cx="5334000" cy="3690033"/>
            <wp:effectExtent b="0" l="0" r="0" t="0"/>
            <wp:docPr descr="Actual harvest levels from the national forestry database compared with estimated values." title="" id="1" name="Picture"/>
            <a:graphic>
              <a:graphicData uri="http://schemas.openxmlformats.org/drawingml/2006/picture">
                <pic:pic>
                  <pic:nvPicPr>
                    <pic:cNvPr descr="../img/harv_comparis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0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Actual harvest levels from the national forestry database compared with estimated values.</w:t>
      </w:r>
    </w:p>
    <w:p>
      <w:r>
        <w:br w:type="page"/>
      </w:r>
    </w:p>
    <w:p>
      <w:pPr>
        <w:pStyle w:val="CaptionedFigure"/>
      </w:pPr>
      <w:r>
        <w:drawing>
          <wp:inline>
            <wp:extent cx="5334000" cy="3690033"/>
            <wp:effectExtent b="0" l="0" r="0" t="0"/>
            <wp:docPr descr="Distribution of cycle times by location for each of the years 1990–2015. Black curves are for a low harvest level year (1990), a medium harvest level year (2009), and a high harvest level year (2005). Gray curves are for each of the other 23 years." title="" id="1" name="Picture"/>
            <a:graphic>
              <a:graphicData uri="http://schemas.openxmlformats.org/drawingml/2006/picture">
                <pic:pic>
                  <pic:nvPicPr>
                    <pic:cNvPr descr="../img/cycle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0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cycle times by location for each of the years 1990–2015. Black curves are for a low harvest level year (1990), a medium harvest level year (2009), and a high harvest level year (2005). Gray curves are for each of the other 23 years.</w:t>
      </w:r>
    </w:p>
    <w:p>
      <w:r>
        <w:br w:type="page"/>
      </w:r>
    </w:p>
    <w:p>
      <w:pPr>
        <w:pStyle w:val="CaptionedFigure"/>
      </w:pPr>
      <w:r>
        <w:drawing>
          <wp:inline>
            <wp:extent cx="5334000" cy="3690033"/>
            <wp:effectExtent b="0" l="0" r="0" t="0"/>
            <wp:docPr descr="Distribution of marginal costs by location for each of the years 1990–2015. Black curves are for a low harvest level year (1990), a medium harvest level year (2009), and a high harvest level year (2005). Gray curves are for each of the other 23 years." title="" id="1" name="Picture"/>
            <a:graphic>
              <a:graphicData uri="http://schemas.openxmlformats.org/drawingml/2006/picture">
                <pic:pic>
                  <pic:nvPicPr>
                    <pic:cNvPr descr="../img/mc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0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marginal costs by location for each of the years 1990–2015. Black curves are for a low harvest level year (1990), a medium harvest level year (2009), and a high harvest level year (2005). Gray curves are for each of the other 23 years.</w:t>
      </w:r>
    </w:p>
    <w:p>
      <w:r>
        <w:br w:type="page"/>
      </w:r>
    </w:p>
    <w:p>
      <w:pPr>
        <w:pStyle w:val="CaptionedFigure"/>
      </w:pPr>
      <w:r>
        <w:drawing>
          <wp:inline>
            <wp:extent cx="5334000" cy="3690033"/>
            <wp:effectExtent b="0" l="0" r="0" t="0"/>
            <wp:docPr descr="Boxplots of costs by location and biomass requirements for the years 1990–2015." title="" id="1" name="Picture"/>
            <a:graphic>
              <a:graphicData uri="http://schemas.openxmlformats.org/drawingml/2006/picture">
                <pic:pic>
                  <pic:nvPicPr>
                    <pic:cNvPr descr="../img/b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0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Boxplots of costs by location and biomass requirements for the years 1990–2015.</w:t>
      </w:r>
    </w:p>
    <w:p>
      <w:r>
        <w:br w:type="page"/>
      </w:r>
    </w:p>
    <w:p>
      <w:pPr>
        <w:pStyle w:val="CaptionedFigure"/>
      </w:pPr>
      <w:r>
        <w:drawing>
          <wp:inline>
            <wp:extent cx="5334000" cy="3690033"/>
            <wp:effectExtent b="0" l="0" r="0" t="0"/>
            <wp:docPr descr="Average costs by location and year." title="" id="1" name="Picture"/>
            <a:graphic>
              <a:graphicData uri="http://schemas.openxmlformats.org/drawingml/2006/picture">
                <pic:pic>
                  <pic:nvPicPr>
                    <pic:cNvPr descr="../img/ave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0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Average costs by location and year.</w:t>
      </w:r>
    </w:p>
    <w:p>
      <w:pPr>
        <w:pStyle w:val="CaptionedFigure"/>
      </w:pPr>
      <w:r>
        <w:drawing>
          <wp:inline>
            <wp:extent cx="5334000" cy="8636496"/>
            <wp:effectExtent b="0" l="0" r="0" t="0"/>
            <wp:docPr descr="Relationship between timber harvest intensity and required supply area for facilities with biomass requirements of 200, 400, and 800 Gg/a. The area of the dots reflects the proportion of the area of each township harvest in 2009" title="" id="1" name="Picture"/>
            <a:graphic>
              <a:graphicData uri="http://schemas.openxmlformats.org/drawingml/2006/picture">
                <pic:pic>
                  <pic:nvPicPr>
                    <pic:cNvPr descr="../img/whitecourt2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36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Relationship between timber harvest intensity and required supply area for facilities with biomass requirements of 200, 400, and 800 Gg/a. The area of the dots reflects the proportion of the area of each township harvest in 2009</w:t>
      </w:r>
    </w:p>
    <w:p>
      <w:r>
        <w:br w:type="page"/>
      </w:r>
    </w:p>
    <w:p>
      <w:pPr>
        <w:pStyle w:val="CaptionedFigure"/>
      </w:pPr>
      <w:r>
        <w:drawing>
          <wp:inline>
            <wp:extent cx="5334000" cy="3052464"/>
            <wp:effectExtent b="0" l="0" r="0" t="0"/>
            <wp:docPr descr="Supply area for facilities in Whitecourt with biomass requirements of 200, 400, and 800 Gg/a for low cost (2005), medium cost (2009), and high cost (1990) years." title="" id="1" name="Picture"/>
            <a:graphic>
              <a:graphicData uri="http://schemas.openxmlformats.org/drawingml/2006/picture">
                <pic:pic>
                  <pic:nvPicPr>
                    <pic:cNvPr descr="../img/figContours3Yea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2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Supply area for facilities in Whitecourt with biomass requirements of 200, 400, and 800 Gg/a for low cost (2005), medium cost (2009), and high cost (1990) years.</w:t>
      </w:r>
    </w:p>
    <w:bookmarkEnd w:id="3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28" Target="media/rId28.png" /><Relationship Type="http://schemas.openxmlformats.org/officeDocument/2006/relationships/image" Id="rId26" Target="media/rId26.png" /><Relationship Type="http://schemas.openxmlformats.org/officeDocument/2006/relationships/image" Id="rId31" Target="media/rId31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4" Target="media/rId24.png" /><Relationship Type="http://schemas.openxmlformats.org/officeDocument/2006/relationships/image" Id="rId30" Target="media/rId30.png" /><Relationship Type="http://schemas.openxmlformats.org/officeDocument/2006/relationships/hyperlink" Id="rId20" Target="mailto:gwa@ualberta.ca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wa@ualberta.ca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Spatial and temporal variability in economic availability of residual biomass from timber harvest in west-central Alberta, Canada (1990–2015)</dc:title>
  <dc:creator>Glen W. Armstrong1,✉, Jay A. Anderson2, and Alex W. McPhee2</dc:creator>
  <cp:keywords/>
  <dcterms:created xsi:type="dcterms:W3CDTF">2021-11-30T15:03:10Z</dcterms:created>
  <dcterms:modified xsi:type="dcterms:W3CDTF">2021-11-30T15:03:10Z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historicalResidueSupply.bib</vt:lpwstr>
  </property>
  <property fmtid="{D5CDD505-2E9C-101B-9397-08002B2CF9AE}" pid="3" name="csl">
    <vt:lpwstr>biomass-and-bioenergy</vt:lpwstr>
  </property>
  <property fmtid="{D5CDD505-2E9C-101B-9397-08002B2CF9AE}" pid="4" name="date">
    <vt:lpwstr>2021-11-30</vt:lpwstr>
  </property>
  <property fmtid="{D5CDD505-2E9C-101B-9397-08002B2CF9AE}" pid="5" name="geometry">
    <vt:lpwstr>left=1.5in,right=0.5in,top=1in,bottom=1in</vt:lpwstr>
  </property>
  <property fmtid="{D5CDD505-2E9C-101B-9397-08002B2CF9AE}" pid="6" name="header-includes">
    <vt:lpwstr/>
  </property>
  <property fmtid="{D5CDD505-2E9C-101B-9397-08002B2CF9AE}" pid="7" name="output">
    <vt:lpwstr/>
  </property>
  <property fmtid="{D5CDD505-2E9C-101B-9397-08002B2CF9AE}" pid="8" name="subtitle">
    <vt:lpwstr>Tables and Figures</vt:lpwstr>
  </property>
</Properties>
</file>